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50476494"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7C0350">
        <w:t>väike</w:t>
      </w:r>
      <w:r w:rsidR="000E09DB">
        <w:t>hankes</w:t>
      </w:r>
      <w:r w:rsidR="006508E1" w:rsidRPr="001F18A6">
        <w:t xml:space="preserve"> „</w:t>
      </w:r>
      <w:r w:rsidR="0046195F" w:rsidRPr="0046195F">
        <w:rPr>
          <w:b/>
          <w:bCs/>
        </w:rPr>
        <w:t>RMK Kubja puhkekoha rekonstrueerimistööde lõpetamine</w:t>
      </w:r>
      <w:r w:rsidR="006508E1" w:rsidRPr="001F18A6">
        <w:t>“</w:t>
      </w:r>
      <w:r w:rsidR="006065E1" w:rsidRPr="001F18A6">
        <w:t xml:space="preserve"> (viitenu</w:t>
      </w:r>
      <w:r w:rsidR="006D2C67" w:rsidRPr="001F18A6">
        <w:t>m</w:t>
      </w:r>
      <w:r w:rsidR="006065E1" w:rsidRPr="001F18A6">
        <w:t xml:space="preserve">ber </w:t>
      </w:r>
      <w:r w:rsidR="0046195F">
        <w:t>293926</w:t>
      </w:r>
      <w:r w:rsidR="008F6B6B" w:rsidRPr="001F18A6">
        <w:t>, DHS 1-47.</w:t>
      </w:r>
      <w:r w:rsidR="003D7835">
        <w:t>3392</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7A9A64FC" w14:textId="019C9216" w:rsidR="002A3D3D" w:rsidRPr="003D7835" w:rsidRDefault="0068364A" w:rsidP="003D7835">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bookmarkStart w:id="1" w:name="_Toc66500794"/>
    </w:p>
    <w:p w14:paraId="75AB9BFB" w14:textId="66F365EC" w:rsidR="00021DE1" w:rsidRPr="00CF1A2D" w:rsidRDefault="00A70409" w:rsidP="005511C7">
      <w:pPr>
        <w:pStyle w:val="11"/>
        <w:rPr>
          <w:rFonts w:ascii="Times New Roman" w:hAnsi="Times New Roman" w:cs="Times New Roman"/>
          <w:sz w:val="24"/>
          <w:szCs w:val="24"/>
        </w:rPr>
      </w:pPr>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9F0573" w:rsidRPr="00F8210B">
        <w:rPr>
          <w:rFonts w:ascii="Times New Roman" w:hAnsi="Times New Roman" w:cs="Times New Roman"/>
          <w:sz w:val="24"/>
          <w:szCs w:val="24"/>
        </w:rPr>
        <w:t xml:space="preserve">RMK </w:t>
      </w:r>
      <w:r w:rsidR="005042C3">
        <w:rPr>
          <w:rFonts w:ascii="Times New Roman" w:hAnsi="Times New Roman" w:cs="Times New Roman"/>
          <w:sz w:val="24"/>
          <w:szCs w:val="24"/>
        </w:rPr>
        <w:t>Kubja puhkekoha reko</w:t>
      </w:r>
      <w:r w:rsidR="004E209D">
        <w:rPr>
          <w:rFonts w:ascii="Times New Roman" w:hAnsi="Times New Roman" w:cs="Times New Roman"/>
          <w:sz w:val="24"/>
          <w:szCs w:val="24"/>
        </w:rPr>
        <w:t xml:space="preserve">nstrueerimistööde </w:t>
      </w:r>
      <w:r w:rsidR="004E209D" w:rsidRPr="00CF1A2D">
        <w:rPr>
          <w:rFonts w:ascii="Times New Roman" w:hAnsi="Times New Roman" w:cs="Times New Roman"/>
          <w:sz w:val="24"/>
          <w:szCs w:val="24"/>
        </w:rPr>
        <w:t xml:space="preserve">lõpetamiseks. </w:t>
      </w:r>
    </w:p>
    <w:p w14:paraId="6B6F74AC" w14:textId="77777777" w:rsidR="005E560E" w:rsidRDefault="00CF1A2D"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Tööde loetelu ja tehniline info: RMK Kubja puhkekoha  (Kubja, Võru linn, Võrumaa, katastritunnus 91901:014:0073) rekonstrueerimistööde lõpetamine. </w:t>
      </w:r>
    </w:p>
    <w:p w14:paraId="5ABAF696" w14:textId="39BE9FCD" w:rsidR="00CF1A2D" w:rsidRPr="00CF1A2D" w:rsidRDefault="00CF1A2D"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 </w:t>
      </w:r>
      <w:r w:rsidR="005E560E" w:rsidRPr="005E560E">
        <w:rPr>
          <w:rFonts w:ascii="Times New Roman" w:hAnsi="Times New Roman" w:cs="Times New Roman"/>
          <w:sz w:val="24"/>
          <w:szCs w:val="24"/>
        </w:rPr>
        <w:t xml:space="preserve">Tööde teostamise </w:t>
      </w:r>
      <w:r w:rsidR="005E560E" w:rsidRPr="005E560E">
        <w:rPr>
          <w:rFonts w:ascii="Times New Roman" w:hAnsi="Times New Roman" w:cs="Times New Roman"/>
          <w:b/>
          <w:bCs/>
          <w:sz w:val="24"/>
          <w:szCs w:val="24"/>
        </w:rPr>
        <w:t>tähtaeg on 31.07.2025.</w:t>
      </w:r>
      <w:r w:rsidR="005E560E" w:rsidRPr="005E560E">
        <w:rPr>
          <w:rFonts w:ascii="Times New Roman" w:hAnsi="Times New Roman" w:cs="Times New Roman"/>
          <w:sz w:val="24"/>
          <w:szCs w:val="24"/>
        </w:rPr>
        <w:t xml:space="preserve"> Lepingu kehtivuse lõpptähtaeg on 30.09.2025.</w:t>
      </w:r>
    </w:p>
    <w:p w14:paraId="31A66FEC" w14:textId="01F2CD4F" w:rsidR="003A0A3C" w:rsidRPr="00CF1A2D" w:rsidRDefault="003A0A3C" w:rsidP="003A0A3C">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Hankelepingu eseme tehniline kirjeldus on toodud lisas 2 – tehniline kirjeldus. </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6C60BA55" w14:textId="3497766C" w:rsidR="00AD4BD8" w:rsidRPr="00AD4BD8" w:rsidRDefault="00AD4BD8" w:rsidP="00AD4BD8">
      <w:pPr>
        <w:pStyle w:val="11"/>
        <w:rPr>
          <w:rFonts w:ascii="Times New Roman" w:hAnsi="Times New Roman" w:cs="Times New Roman"/>
          <w:b/>
          <w:bCs/>
          <w:sz w:val="24"/>
          <w:szCs w:val="24"/>
          <w:lang w:eastAsia="ar-SA"/>
        </w:rPr>
      </w:pPr>
      <w:r w:rsidRPr="00AD4BD8">
        <w:rPr>
          <w:rFonts w:ascii="Times New Roman" w:hAnsi="Times New Roman" w:cs="Times New Roman"/>
          <w:b/>
          <w:bCs/>
          <w:sz w:val="24"/>
          <w:szCs w:val="24"/>
          <w:lang w:eastAsia="ar-SA"/>
        </w:rPr>
        <w:t xml:space="preserve">Objektiga on kohustuslik eelnev juhendatud tutvumine </w:t>
      </w:r>
      <w:r w:rsidRPr="00375DB7">
        <w:rPr>
          <w:rFonts w:ascii="Times New Roman" w:hAnsi="Times New Roman" w:cs="Times New Roman"/>
          <w:sz w:val="24"/>
          <w:szCs w:val="24"/>
          <w:lang w:eastAsia="ar-SA"/>
        </w:rPr>
        <w:t xml:space="preserve">tööde teostamise asukohas </w:t>
      </w:r>
      <w:r w:rsidRPr="00D44AA8">
        <w:rPr>
          <w:rFonts w:ascii="Times New Roman" w:hAnsi="Times New Roman" w:cs="Times New Roman"/>
          <w:sz w:val="24"/>
          <w:szCs w:val="24"/>
          <w:lang w:eastAsia="ar-SA"/>
        </w:rPr>
        <w:t xml:space="preserve">(aadress: </w:t>
      </w:r>
      <w:r w:rsidR="00375DB7" w:rsidRPr="00D44AA8">
        <w:rPr>
          <w:rFonts w:ascii="Times New Roman" w:hAnsi="Times New Roman" w:cs="Times New Roman"/>
          <w:sz w:val="24"/>
          <w:szCs w:val="24"/>
          <w:lang w:eastAsia="ar-SA"/>
        </w:rPr>
        <w:t>Kubja, Võru linn, Võrumaa</w:t>
      </w:r>
      <w:r w:rsidRPr="00D44AA8">
        <w:rPr>
          <w:rFonts w:ascii="Times New Roman" w:hAnsi="Times New Roman" w:cs="Times New Roman"/>
          <w:sz w:val="24"/>
          <w:szCs w:val="24"/>
          <w:lang w:eastAsia="ar-SA"/>
        </w:rPr>
        <w:t>)</w:t>
      </w:r>
      <w:r w:rsidRPr="00375DB7">
        <w:rPr>
          <w:rFonts w:ascii="Times New Roman" w:hAnsi="Times New Roman" w:cs="Times New Roman"/>
          <w:sz w:val="24"/>
          <w:szCs w:val="24"/>
          <w:lang w:eastAsia="ar-SA"/>
        </w:rPr>
        <w:t xml:space="preserve"> </w:t>
      </w:r>
      <w:r w:rsidRPr="00AD4BD8">
        <w:rPr>
          <w:rFonts w:ascii="Times New Roman" w:hAnsi="Times New Roman" w:cs="Times New Roman"/>
          <w:b/>
          <w:bCs/>
          <w:sz w:val="24"/>
          <w:szCs w:val="24"/>
          <w:lang w:eastAsia="ar-SA"/>
        </w:rPr>
        <w:t xml:space="preserve">hankija määratud aegadel, </w:t>
      </w:r>
      <w:r w:rsidRPr="00375DB7">
        <w:rPr>
          <w:rFonts w:ascii="Times New Roman" w:hAnsi="Times New Roman" w:cs="Times New Roman"/>
          <w:sz w:val="24"/>
          <w:szCs w:val="24"/>
          <w:lang w:eastAsia="ar-SA"/>
        </w:rPr>
        <w:t>erandina kokkuleppel muul ajal:</w:t>
      </w:r>
      <w:r w:rsidRPr="00AD4BD8">
        <w:rPr>
          <w:rFonts w:ascii="Times New Roman" w:hAnsi="Times New Roman" w:cs="Times New Roman"/>
          <w:b/>
          <w:bCs/>
          <w:sz w:val="24"/>
          <w:szCs w:val="24"/>
          <w:lang w:eastAsia="ar-SA"/>
        </w:rPr>
        <w:t xml:space="preserve"> </w:t>
      </w:r>
      <w:r w:rsidR="00A63C65" w:rsidRPr="00D44AA8">
        <w:rPr>
          <w:rFonts w:ascii="Times New Roman" w:hAnsi="Times New Roman" w:cs="Times New Roman"/>
          <w:b/>
          <w:bCs/>
          <w:sz w:val="24"/>
          <w:szCs w:val="24"/>
          <w:highlight w:val="yellow"/>
          <w:lang w:eastAsia="ar-SA"/>
        </w:rPr>
        <w:t>28.04.2025 kell 10.00-12.00</w:t>
      </w:r>
      <w:r w:rsidRPr="00D44AA8">
        <w:rPr>
          <w:rFonts w:ascii="Times New Roman" w:hAnsi="Times New Roman" w:cs="Times New Roman"/>
          <w:b/>
          <w:bCs/>
          <w:sz w:val="24"/>
          <w:szCs w:val="24"/>
          <w:lang w:eastAsia="ar-SA"/>
        </w:rPr>
        <w:t xml:space="preserve">, </w:t>
      </w:r>
      <w:r w:rsidRPr="00D44AA8">
        <w:rPr>
          <w:rFonts w:ascii="Times New Roman" w:hAnsi="Times New Roman" w:cs="Times New Roman"/>
          <w:sz w:val="24"/>
          <w:szCs w:val="24"/>
          <w:lang w:eastAsia="ar-SA"/>
        </w:rPr>
        <w:t xml:space="preserve">eelnevalt registreeruda </w:t>
      </w:r>
      <w:r w:rsidR="002A7522" w:rsidRPr="00375DB7">
        <w:rPr>
          <w:rFonts w:ascii="Times New Roman" w:hAnsi="Times New Roman" w:cs="Times New Roman"/>
          <w:sz w:val="24"/>
          <w:szCs w:val="24"/>
          <w:lang w:eastAsia="ar-SA"/>
        </w:rPr>
        <w:t xml:space="preserve">RMK külastuskorraldusosakond, </w:t>
      </w:r>
      <w:r w:rsidR="00D44AA8" w:rsidRPr="00D44AA8">
        <w:rPr>
          <w:rFonts w:ascii="Times New Roman" w:hAnsi="Times New Roman" w:cs="Times New Roman"/>
          <w:sz w:val="24"/>
          <w:szCs w:val="24"/>
          <w:lang w:eastAsia="ar-SA"/>
        </w:rPr>
        <w:t>Tiia Ilmet, tel. 511 9233.</w:t>
      </w:r>
    </w:p>
    <w:p w14:paraId="26D60C84" w14:textId="55D93AB3" w:rsidR="005951B0" w:rsidRPr="005951B0" w:rsidRDefault="005951B0" w:rsidP="00AD4BD8">
      <w:pPr>
        <w:pStyle w:val="11"/>
        <w:numPr>
          <w:ilvl w:val="0"/>
          <w:numId w:val="0"/>
        </w:numPr>
        <w:spacing w:after="120"/>
        <w:rPr>
          <w:rFonts w:ascii="Times New Roman" w:hAnsi="Times New Roman" w:cs="Times New Roman"/>
          <w:sz w:val="24"/>
          <w:szCs w:val="24"/>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lastRenderedPageBreak/>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59F55E4D"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0D5255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393281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lastRenderedPageBreak/>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4884E" w14:textId="77777777" w:rsidR="00972217" w:rsidRDefault="00972217">
      <w:r>
        <w:separator/>
      </w:r>
    </w:p>
  </w:endnote>
  <w:endnote w:type="continuationSeparator" w:id="0">
    <w:p w14:paraId="6C579E57" w14:textId="77777777" w:rsidR="00972217" w:rsidRDefault="00972217">
      <w:r>
        <w:continuationSeparator/>
      </w:r>
    </w:p>
  </w:endnote>
  <w:endnote w:type="continuationNotice" w:id="1">
    <w:p w14:paraId="736829F1" w14:textId="77777777" w:rsidR="00972217" w:rsidRDefault="00972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2B2E6D" w14:textId="77777777" w:rsidR="00972217" w:rsidRDefault="00972217">
      <w:r>
        <w:separator/>
      </w:r>
    </w:p>
  </w:footnote>
  <w:footnote w:type="continuationSeparator" w:id="0">
    <w:p w14:paraId="39902771" w14:textId="77777777" w:rsidR="00972217" w:rsidRDefault="00972217">
      <w:r>
        <w:continuationSeparator/>
      </w:r>
    </w:p>
  </w:footnote>
  <w:footnote w:type="continuationNotice" w:id="1">
    <w:p w14:paraId="15A2266C" w14:textId="77777777" w:rsidR="00972217" w:rsidRDefault="009722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7E"/>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A7522"/>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DB7"/>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0A3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35"/>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5B6"/>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95F"/>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2A4"/>
    <w:rsid w:val="0049558C"/>
    <w:rsid w:val="004956AF"/>
    <w:rsid w:val="004969C0"/>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09D"/>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4D3"/>
    <w:rsid w:val="004F6523"/>
    <w:rsid w:val="004F7127"/>
    <w:rsid w:val="004F7EB5"/>
    <w:rsid w:val="00500C74"/>
    <w:rsid w:val="005017AB"/>
    <w:rsid w:val="005021DE"/>
    <w:rsid w:val="00502D5A"/>
    <w:rsid w:val="005042C3"/>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4F5B"/>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60E"/>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5BFA"/>
    <w:rsid w:val="007167CE"/>
    <w:rsid w:val="0071798E"/>
    <w:rsid w:val="00717991"/>
    <w:rsid w:val="00721D4C"/>
    <w:rsid w:val="0072211B"/>
    <w:rsid w:val="007226D8"/>
    <w:rsid w:val="00722BB9"/>
    <w:rsid w:val="007234F1"/>
    <w:rsid w:val="00723F50"/>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266"/>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0D2"/>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67DB"/>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217"/>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3C65"/>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4DEC"/>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4BD8"/>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569A"/>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A2D"/>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368"/>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AA8"/>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D7ACD"/>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1248</Words>
  <Characters>9082</Characters>
  <Application>Microsoft Office Word</Application>
  <DocSecurity>0</DocSecurity>
  <Lines>75</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70</cp:revision>
  <dcterms:created xsi:type="dcterms:W3CDTF">2024-09-12T09:52:00Z</dcterms:created>
  <dcterms:modified xsi:type="dcterms:W3CDTF">2025-04-17T07:44:00Z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